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E0BC4" w:rsidRDefault="00FE0BC4" w14:paraId="6128F420" w14:textId="77777777">
      <w:pPr>
        <w:rPr>
          <w:rFonts w:ascii="Arial" w:hAnsi="Arial" w:cs="Arial"/>
          <w:b/>
          <w:color w:val="003A70"/>
          <w:sz w:val="32"/>
        </w:rPr>
      </w:pPr>
      <w:r w:rsidRPr="004F2520">
        <w:rPr>
          <w:rFonts w:ascii="Arial" w:hAnsi="Arial" w:cs="Arial"/>
          <w:b/>
          <w:color w:val="003A70"/>
          <w:sz w:val="32"/>
        </w:rPr>
        <w:t>APPENDIX D</w:t>
      </w:r>
    </w:p>
    <w:p w:rsidR="00D138DE" w:rsidRDefault="00FE0BC4" w14:paraId="58C7EA18" w14:textId="611AEDFD">
      <w:pPr>
        <w:rPr>
          <w:rFonts w:ascii="Arial" w:hAnsi="Arial" w:cs="Arial"/>
          <w:b/>
          <w:color w:val="003A70"/>
          <w:sz w:val="32"/>
        </w:rPr>
      </w:pPr>
      <w:r w:rsidRPr="004F2520">
        <w:rPr>
          <w:rFonts w:ascii="Arial" w:hAnsi="Arial" w:cs="Arial"/>
          <w:b/>
          <w:color w:val="003A70"/>
          <w:sz w:val="32"/>
        </w:rPr>
        <w:t>PRICING MATRIX INSTRUCTIONS (</w:t>
      </w:r>
      <w:r w:rsidRPr="00D138DE" w:rsidR="00D138DE">
        <w:rPr>
          <w:rFonts w:ascii="Arial" w:hAnsi="Arial" w:cs="Arial"/>
          <w:b/>
          <w:color w:val="003A70"/>
          <w:sz w:val="32"/>
        </w:rPr>
        <w:t>Lot 1 Hard-Wired &amp; Digital Alarm Units (DAU) Maintenance of Call Monitoring Systems</w:t>
      </w:r>
      <w:r w:rsidR="00D138DE">
        <w:rPr>
          <w:rFonts w:ascii="Arial" w:hAnsi="Arial" w:cs="Arial"/>
          <w:b/>
          <w:color w:val="003A70"/>
          <w:sz w:val="32"/>
        </w:rPr>
        <w:t>)</w:t>
      </w:r>
      <w:r w:rsidRPr="00D138DE" w:rsidR="00D138DE">
        <w:rPr>
          <w:rFonts w:ascii="Arial" w:hAnsi="Arial" w:cs="Arial"/>
          <w:b/>
          <w:color w:val="003A70"/>
          <w:sz w:val="32"/>
        </w:rPr>
        <w:t xml:space="preserve"> </w:t>
      </w:r>
    </w:p>
    <w:p w:rsidRPr="004F2520" w:rsidR="00133D1A" w:rsidRDefault="00FE0BC4" w14:paraId="4F15869D" w14:textId="7962A7AF">
      <w:pPr>
        <w:rPr>
          <w:rFonts w:ascii="Arial" w:hAnsi="Arial" w:cs="Arial"/>
        </w:rPr>
      </w:pPr>
      <w:r w:rsidRPr="004F2520">
        <w:rPr>
          <w:rFonts w:ascii="Arial" w:hAnsi="Arial" w:cs="Arial"/>
        </w:rPr>
        <w:t>To be read in conjunction with Appendix D (i) – Pricing Matrix (Excel Return), Appendix A – Service Specification, and the Invitation to Tender (ITT). Bidders must complete the Pricing Matrix in full.</w:t>
      </w:r>
    </w:p>
    <w:p w:rsidRPr="004F2520" w:rsidR="00133D1A" w:rsidRDefault="00FE0BC4" w14:paraId="07DA25CE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1. General Requirements</w:t>
      </w:r>
    </w:p>
    <w:p w:rsidRPr="004F2520" w:rsidR="00133D1A" w:rsidRDefault="00FE0BC4" w14:paraId="56E91179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1.1 Bidders must complete all yellow input cells in the Pricing Matrix. No blank cells are permitted.</w:t>
      </w:r>
    </w:p>
    <w:p w:rsidRPr="004F2520" w:rsidR="00133D1A" w:rsidRDefault="00FE0BC4" w14:paraId="46502D4B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1.2 The structure, formulas, and layout of the Excel document must not be altered.</w:t>
      </w:r>
    </w:p>
    <w:p w:rsidRPr="004F2520" w:rsidR="00133D1A" w:rsidRDefault="00FE0BC4" w14:paraId="0CE66406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1.3 No additional worksheets may be added.</w:t>
      </w:r>
    </w:p>
    <w:p w:rsidRPr="004F2520" w:rsidR="00133D1A" w:rsidRDefault="00FE0BC4" w14:paraId="7D98027B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1.4 All prices must be in GBP (£), exclusive of VAT.</w:t>
      </w:r>
    </w:p>
    <w:p w:rsidRPr="004F2520" w:rsidR="00133D1A" w:rsidRDefault="00FE0BC4" w14:paraId="4BA433C0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1.5 All prices must be fully inclusive of labour, travel, parking, tools, overheads and profit.</w:t>
      </w:r>
    </w:p>
    <w:p w:rsidRPr="004F2520" w:rsidR="00133D1A" w:rsidRDefault="00FE0BC4" w14:paraId="75622B62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1.6 No caveats, assumptions, alternative pricing models, or footnotes are permitted.</w:t>
      </w:r>
    </w:p>
    <w:p w:rsidRPr="004F2520" w:rsidR="00133D1A" w:rsidRDefault="00FE0BC4" w14:paraId="52273840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1.7 Any attempt to overwrite protected formula cells may result in disqualification.</w:t>
      </w:r>
    </w:p>
    <w:p w:rsidRPr="004F2520" w:rsidR="00133D1A" w:rsidRDefault="00FE0BC4" w14:paraId="45A5CD96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2. Pricing Period and Uplift Rules</w:t>
      </w:r>
    </w:p>
    <w:p w:rsidRPr="004F2520" w:rsidR="00133D1A" w:rsidRDefault="00FE0BC4" w14:paraId="04CCC146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2.1 All prices submitted must be fixed for the initial 4-year contract term, including PPM, call-out rates, no-access/return visit rates, and out-of-hours rates.</w:t>
      </w:r>
    </w:p>
    <w:p w:rsidRPr="004F2520" w:rsidR="00133D1A" w:rsidRDefault="00FE0BC4" w14:paraId="3E1F3C5F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2.2 The only element eligible for annual price change is equipment/materials, where increases must be supported by evidence of supplier cost changes.</w:t>
      </w:r>
    </w:p>
    <w:p w:rsidRPr="004F2520" w:rsidR="00133D1A" w:rsidRDefault="00FE0BC4" w14:paraId="4F5BED37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2.3 No CPI/RPI inflation uplifts may be applied to PPM or call-out pricing during the initial 4-year period.</w:t>
      </w:r>
    </w:p>
    <w:p w:rsidRPr="004F2520" w:rsidR="00133D1A" w:rsidRDefault="00FE0BC4" w14:paraId="14A8359E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3. Travel, Parking and Associated Costs</w:t>
      </w:r>
    </w:p>
    <w:p w:rsidRPr="004F2520" w:rsidR="00133D1A" w:rsidRDefault="00FE0BC4" w14:paraId="141DB1B0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3.1 All call-out, PPM and reactive maintenance prices must be fully inclusive of all travel time, mileage, congestion charges, ULEZ charges and parking fees.</w:t>
      </w:r>
    </w:p>
    <w:p w:rsidRPr="004F2520" w:rsidR="00133D1A" w:rsidRDefault="00FE0BC4" w14:paraId="523664C2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3.2 Aster will not accept any additional charges relating to travel, mileage, parking or attendance.</w:t>
      </w:r>
    </w:p>
    <w:p w:rsidRPr="004F2520" w:rsidR="00133D1A" w:rsidRDefault="00FE0BC4" w14:paraId="0BC44CAF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lastRenderedPageBreak/>
        <w:t>4. PPM (Planned Preventative Maintenance) – Tab: 'PPM by Block'</w:t>
      </w:r>
    </w:p>
    <w:p w:rsidRPr="004F2520" w:rsidR="00133D1A" w:rsidRDefault="00FE0BC4" w14:paraId="04BE7FC3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4.1 Bidders must provide an annual PPM price for each scheme/block listed.</w:t>
      </w:r>
    </w:p>
    <w:p w:rsidRPr="004F2520" w:rsidR="00133D1A" w:rsidRDefault="00FE0BC4" w14:paraId="1B38196F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4.2 The layout provided must not be altered.</w:t>
      </w:r>
    </w:p>
    <w:p w:rsidRPr="004F2520" w:rsidR="00133D1A" w:rsidRDefault="00FE0BC4" w14:paraId="523476A3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4.3 The PPM price must cover annual inspections, testing, documentation, certification, resident communications, attendance, travel, parking, and reporting.</w:t>
      </w:r>
    </w:p>
    <w:p w:rsidRPr="004F2520" w:rsidR="00133D1A" w:rsidRDefault="00FE0BC4" w14:paraId="41B837B6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4.4 Prices must be scheme-specific and reflect system type, complexity, and access considerations.</w:t>
      </w:r>
    </w:p>
    <w:p w:rsidRPr="004F2520" w:rsidR="00133D1A" w:rsidRDefault="00FE0BC4" w14:paraId="533E1B8E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5. Call-Out Rates – Tab: 'Call-Out Charges'</w:t>
      </w:r>
    </w:p>
    <w:p w:rsidRPr="004F2520" w:rsidR="00133D1A" w:rsidRDefault="00FE0BC4" w14:paraId="10B3F9A5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Bidders must price the following categories: Critical (4 hours), Emergency (24 hours), Routine (7 days), Out-of-hours.</w:t>
      </w:r>
    </w:p>
    <w:p w:rsidRPr="004F2520" w:rsidR="00133D1A" w:rsidRDefault="00FE0BC4" w14:paraId="637CE75C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5.1 The rates provided must be all-inclusive.</w:t>
      </w:r>
    </w:p>
    <w:p w:rsidRPr="004F2520" w:rsidR="00133D1A" w:rsidRDefault="00FE0BC4" w14:paraId="49C4AC02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5.2 Rates must remain fixed for the initial 4-year term.</w:t>
      </w:r>
    </w:p>
    <w:p w:rsidRPr="004F2520" w:rsidR="00133D1A" w:rsidRDefault="00FE0BC4" w14:paraId="19079EAC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5.3 Bidders must also complete the Return Visit / No Access line.</w:t>
      </w:r>
    </w:p>
    <w:p w:rsidRPr="004F2520" w:rsidR="00133D1A" w:rsidRDefault="00FE0BC4" w14:paraId="545EED12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6. No-Access / Return Visit Prices</w:t>
      </w:r>
    </w:p>
    <w:p w:rsidRPr="004F2520" w:rsidR="00133D1A" w:rsidRDefault="00FE0BC4" w14:paraId="58B9BB68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6.1 A separate line is included for Return Visit – No Access.</w:t>
      </w:r>
    </w:p>
    <w:p w:rsidRPr="004F2520" w:rsidR="00133D1A" w:rsidRDefault="00FE0BC4" w14:paraId="685765E3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6.2 This rate covers failed appointments where residents do not provide access.</w:t>
      </w:r>
    </w:p>
    <w:p w:rsidRPr="004F2520" w:rsidR="00133D1A" w:rsidRDefault="00FE0BC4" w14:paraId="7BEC9EE3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6.3 The contractor must provide photographic evidence of carding and maintain audit trails.</w:t>
      </w:r>
    </w:p>
    <w:p w:rsidRPr="004F2520" w:rsidR="00133D1A" w:rsidRDefault="00FE0BC4" w14:paraId="3F985A1C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6.4 This rate must remain fixed for the initial 4-year term.</w:t>
      </w:r>
    </w:p>
    <w:p w:rsidRPr="004F2520" w:rsidR="00133D1A" w:rsidRDefault="00FE0BC4" w14:paraId="52C5B086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7. Equipment, Peripherals and Materials</w:t>
      </w:r>
    </w:p>
    <w:p w:rsidRPr="004F2520" w:rsidR="00133D1A" w:rsidRDefault="00FE0BC4" w14:paraId="0511E20B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7.1 Bidders must provide unit rates for all listed equipment items.</w:t>
      </w:r>
    </w:p>
    <w:p w:rsidRPr="004F2520" w:rsidR="00133D1A" w:rsidRDefault="00FE0BC4" w14:paraId="1A197FEA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7.2 Prices must reflect the bidder’s net cost and include delivery and logistics.</w:t>
      </w:r>
    </w:p>
    <w:p w:rsidRPr="004F2520" w:rsidR="00133D1A" w:rsidRDefault="00FE0BC4" w14:paraId="5F4CE529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7.3 Items not applicable must still be priced via an approved procurement route.</w:t>
      </w:r>
    </w:p>
    <w:p w:rsidRPr="004F2520" w:rsidR="00133D1A" w:rsidRDefault="00FE0BC4" w14:paraId="240035BB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8. Mark-Up</w:t>
      </w:r>
    </w:p>
    <w:p w:rsidRPr="004F2520" w:rsidR="00133D1A" w:rsidRDefault="00FE0BC4" w14:paraId="371A06A0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8.1 Bidders must enter a single mark-up percentage for unlisted/new equipment.</w:t>
      </w:r>
    </w:p>
    <w:p w:rsidRPr="004F2520" w:rsidR="00133D1A" w:rsidRDefault="00FE0BC4" w14:paraId="7C7CEABC" w14:textId="7FE4D0E9">
      <w:pPr>
        <w:rPr>
          <w:rFonts w:ascii="Arial" w:hAnsi="Arial" w:cs="Arial"/>
        </w:rPr>
      </w:pPr>
      <w:r w:rsidRPr="1173A459" w:rsidR="6E37450B">
        <w:rPr>
          <w:rFonts w:ascii="Arial" w:hAnsi="Arial" w:cs="Arial"/>
        </w:rPr>
        <w:t>8.2 The mark-up must not exceed 1</w:t>
      </w:r>
      <w:r w:rsidRPr="1173A459" w:rsidR="73BC3AC9">
        <w:rPr>
          <w:rFonts w:ascii="Arial" w:hAnsi="Arial" w:cs="Arial"/>
        </w:rPr>
        <w:t>0</w:t>
      </w:r>
      <w:r w:rsidRPr="1173A459" w:rsidR="6E37450B">
        <w:rPr>
          <w:rFonts w:ascii="Arial" w:hAnsi="Arial" w:cs="Arial"/>
        </w:rPr>
        <w:t>%.</w:t>
      </w:r>
    </w:p>
    <w:p w:rsidRPr="004F2520" w:rsidR="00133D1A" w:rsidRDefault="00FE0BC4" w14:paraId="5F461A7E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lastRenderedPageBreak/>
        <w:t>8.3 Any entry above 15% will be deemed non-compliant.</w:t>
      </w:r>
    </w:p>
    <w:p w:rsidRPr="004F2520" w:rsidR="00133D1A" w:rsidRDefault="00FE0BC4" w14:paraId="1F7338B4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9. Summary Sheet</w:t>
      </w:r>
    </w:p>
    <w:p w:rsidRPr="004F2520" w:rsidR="00133D1A" w:rsidRDefault="00FE0BC4" w14:paraId="22531E92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9.1 The Summary Sheet calculates the Total Evaluated Contract Price.</w:t>
      </w:r>
    </w:p>
    <w:p w:rsidRPr="004F2520" w:rsidR="00133D1A" w:rsidRDefault="00FE0BC4" w14:paraId="69C87DF6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9.2 Bidders must not alter formulas.</w:t>
      </w:r>
    </w:p>
    <w:p w:rsidRPr="004F2520" w:rsidR="00133D1A" w:rsidRDefault="00FE0BC4" w14:paraId="4B9525AD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9.3 Aster will evaluate pricing solely based on the Summary output.</w:t>
      </w:r>
    </w:p>
    <w:p w:rsidRPr="004F2520" w:rsidR="00133D1A" w:rsidRDefault="00FE0BC4" w14:paraId="33D3397C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10. Errors, Omissions and Formula Protection</w:t>
      </w:r>
    </w:p>
    <w:p w:rsidRPr="004F2520" w:rsidR="00133D1A" w:rsidRDefault="00FE0BC4" w14:paraId="49512981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10.1 Any suspected error must be raised via clarification.</w:t>
      </w:r>
    </w:p>
    <w:p w:rsidRPr="004F2520" w:rsidR="00133D1A" w:rsidRDefault="00FE0BC4" w14:paraId="49B22370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10.2 Aster reserves the right to correct formulas, reissue the document, or request resubmission if required.</w:t>
      </w:r>
    </w:p>
    <w:p w:rsidRPr="004F2520" w:rsidR="00133D1A" w:rsidRDefault="00FE0BC4" w14:paraId="520656E7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11. Submission Requirements</w:t>
      </w:r>
    </w:p>
    <w:p w:rsidRPr="004F2520" w:rsidR="00133D1A" w:rsidRDefault="00FE0BC4" w14:paraId="5840C63D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11.1 Bidders must upload the completed Excel Pricing Matrix exactly as issued.</w:t>
      </w:r>
    </w:p>
    <w:p w:rsidRPr="004F2520" w:rsidR="00133D1A" w:rsidRDefault="00FE0BC4" w14:paraId="480208B2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11.2 PDF or recreated versions will not be accepted.</w:t>
      </w:r>
    </w:p>
    <w:p w:rsidRPr="004F2520" w:rsidR="00133D1A" w:rsidRDefault="00FE0BC4" w14:paraId="11147C25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11.3 Modification of protected areas will result in rejection.</w:t>
      </w:r>
    </w:p>
    <w:p w:rsidRPr="004F2520" w:rsidR="00133D1A" w:rsidRDefault="00FE0BC4" w14:paraId="59EB44FF" w14:textId="77777777">
      <w:pPr>
        <w:rPr>
          <w:rFonts w:ascii="Arial" w:hAnsi="Arial" w:cs="Arial"/>
        </w:rPr>
      </w:pPr>
      <w:r w:rsidRPr="004F2520">
        <w:rPr>
          <w:rFonts w:ascii="Arial" w:hAnsi="Arial" w:cs="Arial"/>
          <w:b/>
          <w:color w:val="003A70"/>
          <w:sz w:val="32"/>
        </w:rPr>
        <w:t>12. Definitions</w:t>
      </w:r>
    </w:p>
    <w:p w:rsidRPr="004F2520" w:rsidR="00133D1A" w:rsidRDefault="00FE0BC4" w14:paraId="31C2D543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Equipment – Hardware components, peripherals and devices used within hardwired alarm systems.</w:t>
      </w:r>
    </w:p>
    <w:p w:rsidRPr="004F2520" w:rsidR="00133D1A" w:rsidRDefault="00FE0BC4" w14:paraId="1A7C3107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PPM – Planned Preventative Maintenance.</w:t>
      </w:r>
    </w:p>
    <w:p w:rsidRPr="004F2520" w:rsidR="00133D1A" w:rsidRDefault="00FE0BC4" w14:paraId="29718A2C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Return Visit – Chargeable visit following failure to gain access.</w:t>
      </w:r>
    </w:p>
    <w:p w:rsidRPr="004F2520" w:rsidR="00133D1A" w:rsidRDefault="00FE0BC4" w14:paraId="03CE8F68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Call-out – Responsive maintenance attendance.</w:t>
      </w:r>
    </w:p>
    <w:p w:rsidRPr="004F2520" w:rsidR="00133D1A" w:rsidRDefault="00FE0BC4" w14:paraId="26603EF5" w14:textId="77777777">
      <w:pPr>
        <w:rPr>
          <w:rFonts w:ascii="Arial" w:hAnsi="Arial" w:cs="Arial"/>
        </w:rPr>
      </w:pPr>
      <w:r w:rsidRPr="004F2520">
        <w:rPr>
          <w:rFonts w:ascii="Arial" w:hAnsi="Arial" w:cs="Arial"/>
        </w:rPr>
        <w:t>Mark-up – Contractor percentage applied to net equipment/material cost.</w:t>
      </w:r>
    </w:p>
    <w:sectPr w:rsidRPr="004F2520" w:rsidR="00133D1A" w:rsidSect="004F252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661392124">
    <w:abstractNumId w:val="8"/>
  </w:num>
  <w:num w:numId="2" w16cid:durableId="17125683">
    <w:abstractNumId w:val="6"/>
  </w:num>
  <w:num w:numId="3" w16cid:durableId="1795829986">
    <w:abstractNumId w:val="5"/>
  </w:num>
  <w:num w:numId="4" w16cid:durableId="1999651124">
    <w:abstractNumId w:val="4"/>
  </w:num>
  <w:num w:numId="5" w16cid:durableId="1210847017">
    <w:abstractNumId w:val="7"/>
  </w:num>
  <w:num w:numId="6" w16cid:durableId="1712219769">
    <w:abstractNumId w:val="3"/>
  </w:num>
  <w:num w:numId="7" w16cid:durableId="1142307783">
    <w:abstractNumId w:val="2"/>
  </w:num>
  <w:num w:numId="8" w16cid:durableId="685449162">
    <w:abstractNumId w:val="1"/>
  </w:num>
  <w:num w:numId="9" w16cid:durableId="1502042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33D1A"/>
    <w:rsid w:val="0015074B"/>
    <w:rsid w:val="0029639D"/>
    <w:rsid w:val="002B03C9"/>
    <w:rsid w:val="00326F90"/>
    <w:rsid w:val="004F2520"/>
    <w:rsid w:val="008824E1"/>
    <w:rsid w:val="00AA1D8D"/>
    <w:rsid w:val="00B47730"/>
    <w:rsid w:val="00CB0664"/>
    <w:rsid w:val="00D138DE"/>
    <w:rsid w:val="00FC693F"/>
    <w:rsid w:val="00FE0BC4"/>
    <w:rsid w:val="1173A459"/>
    <w:rsid w:val="35244252"/>
    <w:rsid w:val="6E37450B"/>
    <w:rsid w:val="73BC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0257DD"/>
  <w14:defaultImageDpi w14:val="300"/>
  <w15:docId w15:val="{E3B83E14-E46B-4D21-AE0B-D9643DD9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406212-097D-45CE-B8BD-A14F076FE891}"/>
</file>

<file path=customXml/itemProps3.xml><?xml version="1.0" encoding="utf-8"?>
<ds:datastoreItem xmlns:ds="http://schemas.openxmlformats.org/officeDocument/2006/customXml" ds:itemID="{8C8845DC-4D80-4E22-A19A-172BB9C3996A}"/>
</file>

<file path=customXml/itemProps4.xml><?xml version="1.0" encoding="utf-8"?>
<ds:datastoreItem xmlns:ds="http://schemas.openxmlformats.org/officeDocument/2006/customXml" ds:itemID="{6AB548B7-849D-43AD-955F-C85B286BB48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Kerry Appleton</lastModifiedBy>
  <revision>5</revision>
  <dcterms:created xsi:type="dcterms:W3CDTF">2025-11-28T18:26:00.0000000Z</dcterms:created>
  <dcterms:modified xsi:type="dcterms:W3CDTF">2025-12-08T10:07:33.4947351Z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